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R4-2409606</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baseline"/>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baseline"/>
          <w:lang w:eastAsia="zh-CN"/>
        </w:rPr>
        <w:t>th</w:t>
      </w:r>
      <w:r>
        <w:rPr>
          <w:rFonts w:ascii="Arial" w:hAnsi="Arial" w:eastAsia="宋体" w:cs="Arial"/>
          <w:b/>
          <w:sz w:val="24"/>
          <w:szCs w:val="24"/>
          <w:lang w:eastAsia="zh-CN"/>
        </w:rPr>
        <w:t xml:space="preserve"> May,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10.3.2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Further discussion on SBFD in ITU-R reply LS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widowControl/>
        <w:jc w:val="left"/>
        <w:rPr>
          <w:rFonts w:hint="default" w:cs="Times New Roman"/>
          <w:sz w:val="20"/>
          <w:szCs w:val="20"/>
          <w:lang w:val="en-US" w:eastAsia="zh-CN"/>
        </w:rPr>
      </w:pPr>
      <w:r>
        <w:rPr>
          <w:rFonts w:hint="eastAsia" w:cs="Times New Roman"/>
          <w:sz w:val="20"/>
          <w:szCs w:val="20"/>
          <w:lang w:val="en-US" w:eastAsia="zh-CN"/>
        </w:rPr>
        <w:t xml:space="preserve">In the latest ITU-R meeting, WP5D has sent one LS to RAN/RAN4 to request the </w:t>
      </w:r>
      <w:r>
        <w:rPr>
          <w:rFonts w:hint="default" w:cs="Times New Roman"/>
          <w:sz w:val="20"/>
          <w:szCs w:val="20"/>
          <w:lang w:val="en-US" w:eastAsia="zh-CN"/>
        </w:rPr>
        <w:t>Parameters of terrestrial component of IMT</w:t>
      </w:r>
      <w:r>
        <w:rPr>
          <w:rFonts w:hint="eastAsia" w:cs="Times New Roman"/>
          <w:sz w:val="20"/>
          <w:szCs w:val="20"/>
          <w:lang w:val="en-US" w:eastAsia="zh-CN"/>
        </w:rPr>
        <w:t xml:space="preserve"> </w:t>
      </w:r>
      <w:r>
        <w:rPr>
          <w:rFonts w:hint="default" w:cs="Times New Roman"/>
          <w:sz w:val="20"/>
          <w:szCs w:val="20"/>
          <w:lang w:val="en-US" w:eastAsia="zh-CN"/>
        </w:rPr>
        <w:t xml:space="preserve">in the </w:t>
      </w:r>
      <w:r>
        <w:rPr>
          <w:rFonts w:hint="eastAsia" w:cs="Times New Roman"/>
          <w:sz w:val="20"/>
          <w:szCs w:val="20"/>
          <w:lang w:val="en-US" w:eastAsia="zh-CN"/>
        </w:rPr>
        <w:t xml:space="preserve">following frequency ranges for </w:t>
      </w:r>
      <w:r>
        <w:rPr>
          <w:rFonts w:hint="default" w:cs="Times New Roman"/>
          <w:sz w:val="20"/>
          <w:szCs w:val="20"/>
          <w:lang w:val="en-US" w:eastAsia="zh-CN"/>
        </w:rPr>
        <w:t>sharing and compatibility studies</w:t>
      </w:r>
      <w:r>
        <w:rPr>
          <w:rFonts w:hint="eastAsia" w:cs="Times New Roman"/>
          <w:sz w:val="20"/>
          <w:szCs w:val="20"/>
          <w:lang w:val="en-US" w:eastAsia="zh-CN"/>
        </w:rPr>
        <w:t>. During the RAN#103 meeting, the corresponding SID for WP5D reply LS [3] is approved to facilitate the technical discussions in RAN4. During last RAN4 meeting, we reached the consensus for almost all parameters except for the necessity of additional SBFD feature captured in ITU-R reply LS. In this contribution, we would like to share our views on this SBFD feature from ITU-R sharing and compatibility perspective.</w:t>
      </w:r>
    </w:p>
    <w:p>
      <w:pPr>
        <w:pStyle w:val="101"/>
        <w:ind w:left="960" w:hanging="480"/>
      </w:pPr>
      <w:r>
        <w:t>–</w:t>
      </w:r>
      <w:r>
        <w:tab/>
      </w:r>
      <w:r>
        <w:t>4 400-4 800 MHz;</w:t>
      </w:r>
    </w:p>
    <w:p>
      <w:pPr>
        <w:pStyle w:val="101"/>
        <w:ind w:left="960" w:hanging="480"/>
      </w:pPr>
      <w:r>
        <w:t>–</w:t>
      </w:r>
      <w:r>
        <w:tab/>
      </w:r>
      <w:r>
        <w:t>7 125-8 400 MHz; and</w:t>
      </w:r>
    </w:p>
    <w:p>
      <w:pPr>
        <w:pStyle w:val="101"/>
        <w:ind w:left="960" w:hanging="480"/>
        <w:rPr>
          <w:rFonts w:hint="default"/>
          <w:lang w:val="en-US" w:eastAsia="zh-CN"/>
        </w:rPr>
      </w:pPr>
      <w:r>
        <w:t>–</w:t>
      </w:r>
      <w:r>
        <w:tab/>
      </w:r>
      <w:r>
        <w:t>14.8-15.35 GHz.</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20"/>
      <w:bookmarkStart w:id="3" w:name="OLE_LINK13"/>
      <w:bookmarkStart w:id="4" w:name="OLE_LINK14"/>
      <w:r>
        <w:rPr>
          <w:rFonts w:hint="eastAsia" w:eastAsia="Times New Roman"/>
        </w:rPr>
        <w:t xml:space="preserve"> </w:t>
      </w:r>
    </w:p>
    <w:p>
      <w:pPr>
        <w:widowControl/>
        <w:jc w:val="left"/>
        <w:rPr>
          <w:rFonts w:hint="eastAsia" w:cs="Times New Roman"/>
          <w:sz w:val="20"/>
          <w:szCs w:val="20"/>
          <w:lang w:val="en-US" w:eastAsia="zh-CN"/>
        </w:rPr>
      </w:pPr>
      <w:r>
        <w:rPr>
          <w:rFonts w:hint="eastAsia" w:cs="Times New Roman"/>
          <w:sz w:val="20"/>
          <w:szCs w:val="20"/>
          <w:lang w:val="en-US" w:eastAsia="zh-CN"/>
        </w:rPr>
        <w:t xml:space="preserve">First of all, SBFD will not introduce any new duplex mode and it is within TDD duplex mode. Secondly, from the ITU sharing and compatibility perspective, the interference from IMT SBFD BS towards other incumbent service should be kept same as legacy IMT BS since downlink transmission power and antenna configuration between SBFD slots/symbols and non-SBFD slots/symbols could be kept the same or even with reduced transmission power/antenna configurations. The SBFD feature specified in Rel-19 will only introduce more interference from legacy UE transmission towards incumbent service in DL slots which is not considered in the legacy TDD BS. However based on our experience, usually the interference from legacy IMT UE transmission towards incumbent service is quite limited. Even with more opportunity for UE transmission due to the SBFD feature, the total interference from the legacy IMT UE transmission is still quite limited. In addition, we have lots of high power classes e.g. PC3, PC2 and PC1.5 defined for FR1 high TDD bands in the specification, indeed high power classes (e.g. PC2, PC1.5 compared with PC3) which will equivalently introduce more interference towards the incumbent service similar as the increasing UL transmission opportunity due to SBFD feature, however we never have any limitation on the introduction of high power UE due to ITU-R regulations. In short, SBFD feature is not supposed to create more severe interference towards the incumbent service except for some marginal UE interference.  </w:t>
      </w:r>
    </w:p>
    <w:p>
      <w:pPr>
        <w:widowControl/>
        <w:jc w:val="left"/>
        <w:rPr>
          <w:rFonts w:hint="default" w:cs="Times New Roman"/>
          <w:sz w:val="20"/>
          <w:szCs w:val="20"/>
          <w:lang w:val="en-US" w:eastAsia="zh-CN"/>
        </w:rPr>
      </w:pPr>
      <w:r>
        <w:rPr>
          <w:rFonts w:hint="eastAsia" w:cs="Times New Roman"/>
          <w:sz w:val="20"/>
          <w:szCs w:val="20"/>
          <w:lang w:val="en-US" w:eastAsia="zh-CN"/>
        </w:rPr>
        <w:t xml:space="preserve">Based on the above considerations and also the ongoing discussion for SBFD in Rel-19, we are fine to either indicate the ongoing Rel-19 SBFD feature in LS or not. Maybe not to indicate the SBFD in LS looks better to minimize the impacts on the schedule of ITU-R sharing and compatibility study due to the uncertain RF requirements for SBFD BS. </w:t>
      </w:r>
    </w:p>
    <w:p>
      <w:pPr>
        <w:widowControl/>
        <w:jc w:val="left"/>
        <w:rPr>
          <w:rFonts w:hint="eastAsia" w:cs="Times New Roman"/>
          <w:sz w:val="20"/>
          <w:szCs w:val="20"/>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b w:val="0"/>
          <w:bCs w:val="0"/>
          <w:lang w:val="en-US" w:eastAsia="zh-CN"/>
        </w:rPr>
        <w:t>:</w:t>
      </w:r>
      <w:r>
        <w:rPr>
          <w:rFonts w:hint="eastAsia" w:cs="Times New Roman"/>
          <w:sz w:val="20"/>
          <w:szCs w:val="20"/>
          <w:lang w:val="en-US" w:eastAsia="zh-CN"/>
        </w:rPr>
        <w:t xml:space="preserve"> fine to either indicate the ongoing Rel-19 SBFD feature in ITU-R reply LS or not.</w:t>
      </w:r>
    </w:p>
    <w:p>
      <w:pPr>
        <w:widowControl/>
        <w:jc w:val="left"/>
        <w:rPr>
          <w:rFonts w:hint="default" w:cs="Times New Roman"/>
          <w:sz w:val="20"/>
          <w:szCs w:val="20"/>
          <w:lang w:val="en-US" w:eastAsia="zh-CN"/>
        </w:rPr>
      </w:pPr>
      <w:r>
        <w:rPr>
          <w:rFonts w:hint="eastAsia" w:cs="Times New Roman"/>
          <w:b/>
          <w:bCs/>
          <w:sz w:val="20"/>
          <w:szCs w:val="20"/>
          <w:lang w:val="en-US" w:eastAsia="zh-CN"/>
        </w:rPr>
        <w:t>Observation 1</w:t>
      </w:r>
      <w:r>
        <w:rPr>
          <w:rFonts w:hint="eastAsia" w:cs="Times New Roman"/>
          <w:sz w:val="20"/>
          <w:szCs w:val="20"/>
          <w:lang w:val="en-US" w:eastAsia="zh-CN"/>
        </w:rPr>
        <w:t>: not to indicate the SBFD in ITU-R reply LS looks better to minimize the impacts on the schedule of ITU-R sharing and compatibility study due to the uncertain RF requirements for SBFD BS.</w:t>
      </w:r>
    </w:p>
    <w:bookmarkEnd w:id="1"/>
    <w:bookmarkEnd w:id="2"/>
    <w:bookmarkEnd w:id="3"/>
    <w:bookmarkEnd w:id="4"/>
    <w:p>
      <w:pPr>
        <w:pStyle w:val="57"/>
        <w:tabs>
          <w:tab w:val="left" w:pos="567"/>
          <w:tab w:val="clear" w:pos="1985"/>
        </w:tabs>
        <w:adjustRightInd w:val="0"/>
        <w:ind w:left="510" w:hanging="510"/>
      </w:pPr>
      <w:r>
        <w:t>Conclusions</w:t>
      </w:r>
    </w:p>
    <w:p>
      <w:pPr>
        <w:widowControl/>
        <w:jc w:val="left"/>
        <w:rPr>
          <w:rFonts w:hint="eastAsia" w:cs="Times New Roman"/>
          <w:sz w:val="20"/>
          <w:szCs w:val="20"/>
          <w:lang w:val="en-US" w:eastAsia="zh-CN"/>
        </w:rPr>
      </w:pPr>
      <w:r>
        <w:rPr>
          <w:rFonts w:hint="eastAsia" w:cs="Times New Roman"/>
          <w:sz w:val="20"/>
          <w:szCs w:val="20"/>
          <w:lang w:val="en-US" w:eastAsia="zh-CN"/>
        </w:rPr>
        <w:t>In this contribution, we want to share some further views on IMT parameters for 4400 to 4800MHz and proposals/observations are made as following:</w:t>
      </w:r>
    </w:p>
    <w:p>
      <w:pPr>
        <w:widowControl/>
        <w:jc w:val="left"/>
        <w:rPr>
          <w:rFonts w:hint="eastAsia" w:cs="Times New Roman"/>
          <w:sz w:val="20"/>
          <w:szCs w:val="20"/>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b w:val="0"/>
          <w:bCs w:val="0"/>
          <w:lang w:val="en-US" w:eastAsia="zh-CN"/>
        </w:rPr>
        <w:t>:</w:t>
      </w:r>
      <w:r>
        <w:rPr>
          <w:rFonts w:hint="eastAsia" w:cs="Times New Roman"/>
          <w:sz w:val="20"/>
          <w:szCs w:val="20"/>
          <w:lang w:val="en-US" w:eastAsia="zh-CN"/>
        </w:rPr>
        <w:t xml:space="preserve"> fine to either indicate the ongoing Rel-19 SBFD feature in ITU-R reply LS or not.</w:t>
      </w:r>
    </w:p>
    <w:p>
      <w:pPr>
        <w:widowControl/>
        <w:jc w:val="left"/>
        <w:rPr>
          <w:rFonts w:hint="default" w:cs="Times New Roman"/>
          <w:sz w:val="20"/>
          <w:szCs w:val="20"/>
          <w:lang w:val="en-US" w:eastAsia="zh-CN"/>
        </w:rPr>
      </w:pPr>
      <w:r>
        <w:rPr>
          <w:rFonts w:hint="eastAsia" w:cs="Times New Roman"/>
          <w:b/>
          <w:bCs/>
          <w:sz w:val="20"/>
          <w:szCs w:val="20"/>
          <w:lang w:val="en-US" w:eastAsia="zh-CN"/>
        </w:rPr>
        <w:t>Observation 1</w:t>
      </w:r>
      <w:r>
        <w:rPr>
          <w:rFonts w:hint="eastAsia" w:cs="Times New Roman"/>
          <w:sz w:val="20"/>
          <w:szCs w:val="20"/>
          <w:lang w:val="en-US" w:eastAsia="zh-CN"/>
        </w:rPr>
        <w:t>: not to indicate the SBFD in ITU-R reply LS looks better to minimize the impacts on the schedule of ITU-R sharing and compatibility study due to the uncertain RF requirements for SBFD BS.</w:t>
      </w:r>
    </w:p>
    <w:p>
      <w:pPr>
        <w:pStyle w:val="57"/>
        <w:tabs>
          <w:tab w:val="left" w:pos="567"/>
          <w:tab w:val="clear" w:pos="1985"/>
        </w:tabs>
        <w:adjustRightInd w:val="0"/>
        <w:ind w:left="510" w:hanging="510"/>
      </w:pPr>
      <w:r>
        <w:t>References</w:t>
      </w:r>
    </w:p>
    <w:p>
      <w:pPr>
        <w:pStyle w:val="55"/>
        <w:numPr>
          <w:ilvl w:val="0"/>
          <w:numId w:val="2"/>
        </w:numPr>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numPr>
          <w:ilvl w:val="0"/>
          <w:numId w:val="2"/>
        </w:numPr>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numPr>
          <w:ilvl w:val="0"/>
          <w:numId w:val="2"/>
        </w:numPr>
        <w:rPr>
          <w:rFonts w:hint="eastAsia" w:ascii="Times New Roman" w:hAnsi="Times New Roman" w:cs="Times New Roman"/>
          <w:sz w:val="20"/>
          <w:szCs w:val="20"/>
        </w:rPr>
      </w:pPr>
      <w:r>
        <w:rPr>
          <w:rFonts w:hint="eastAsia" w:ascii="Times New Roman" w:hAnsi="Times New Roman" w:cs="Times New Roman"/>
          <w:sz w:val="20"/>
          <w:szCs w:val="20"/>
        </w:rPr>
        <w:t>RP-240787</w:t>
      </w:r>
      <w:r>
        <w:rPr>
          <w:rFonts w:hint="eastAsia" w:ascii="Times New Roman" w:hAnsi="Times New Roman" w:cs="Times New Roman"/>
          <w:sz w:val="20"/>
          <w:szCs w:val="20"/>
          <w:lang w:val="en-US" w:eastAsia="zh-CN"/>
        </w:rPr>
        <w:t>,New SI proposal: Study on IMT parameters for 4400-4800 MHz, 7125-8400 MHz and 14.8-15.35 GHz, Approved.</w:t>
      </w:r>
    </w:p>
    <w:p>
      <w:pPr>
        <w:pStyle w:val="55"/>
        <w:numPr>
          <w:ilvl w:val="0"/>
          <w:numId w:val="2"/>
        </w:numPr>
        <w:rPr>
          <w:sz w:val="20"/>
          <w:szCs w:val="20"/>
        </w:rPr>
      </w:pPr>
      <w:r>
        <w:rPr>
          <w:rFonts w:hint="eastAsia" w:ascii="Times New Roman" w:hAnsi="Times New Roman" w:cs="Times New Roman"/>
          <w:sz w:val="20"/>
          <w:szCs w:val="20"/>
        </w:rPr>
        <w:t>R4-2406613</w:t>
      </w:r>
      <w:r>
        <w:rPr>
          <w:rFonts w:hint="eastAsia" w:cs="Times New Roman"/>
          <w:sz w:val="20"/>
          <w:szCs w:val="20"/>
          <w:lang w:val="en-US" w:eastAsia="zh-CN"/>
        </w:rPr>
        <w:t>,</w:t>
      </w:r>
      <w:r>
        <w:rPr>
          <w:rFonts w:hint="eastAsia" w:ascii="Times New Roman" w:hAnsi="Times New Roman" w:cs="Times New Roman"/>
          <w:sz w:val="20"/>
          <w:szCs w:val="20"/>
        </w:rPr>
        <w:t>LS on Parameters for 4400 to 4800 MHz of terrestrial component of IMT for sharing and compatibility studies in preparation for WRC-27</w:t>
      </w:r>
    </w:p>
    <w:p>
      <w:pPr>
        <w:pStyle w:val="55"/>
        <w:numPr>
          <w:ilvl w:val="0"/>
          <w:numId w:val="2"/>
        </w:numPr>
        <w:rPr>
          <w:sz w:val="20"/>
          <w:szCs w:val="20"/>
        </w:rPr>
      </w:pPr>
      <w:r>
        <w:rPr>
          <w:rFonts w:hint="eastAsia"/>
          <w:sz w:val="20"/>
          <w:szCs w:val="20"/>
          <w:lang w:val="en-US" w:eastAsia="zh-CN"/>
        </w:rPr>
        <w:t>TR 38.858.</w:t>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21B90"/>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269DF"/>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A2805"/>
    <w:rsid w:val="02AF6836"/>
    <w:rsid w:val="02B06DC0"/>
    <w:rsid w:val="02B31189"/>
    <w:rsid w:val="02B85839"/>
    <w:rsid w:val="02BB1F1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2147D"/>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D62F3"/>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6A88"/>
    <w:rsid w:val="060030B7"/>
    <w:rsid w:val="060836A6"/>
    <w:rsid w:val="060C4293"/>
    <w:rsid w:val="060C5B07"/>
    <w:rsid w:val="060D249E"/>
    <w:rsid w:val="06111076"/>
    <w:rsid w:val="061146F4"/>
    <w:rsid w:val="062362D5"/>
    <w:rsid w:val="062734D4"/>
    <w:rsid w:val="062D742E"/>
    <w:rsid w:val="06382A58"/>
    <w:rsid w:val="063D244B"/>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800676F"/>
    <w:rsid w:val="080511A2"/>
    <w:rsid w:val="080F4BCD"/>
    <w:rsid w:val="08171593"/>
    <w:rsid w:val="0827264B"/>
    <w:rsid w:val="082A0972"/>
    <w:rsid w:val="0835476E"/>
    <w:rsid w:val="08367FC2"/>
    <w:rsid w:val="08391661"/>
    <w:rsid w:val="084E0029"/>
    <w:rsid w:val="08542AC6"/>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B1337"/>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1F1443"/>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2143A"/>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50074"/>
    <w:rsid w:val="0AAB401F"/>
    <w:rsid w:val="0AB329A9"/>
    <w:rsid w:val="0ABA55D8"/>
    <w:rsid w:val="0AC00AFA"/>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67C4D"/>
    <w:rsid w:val="0BC739F0"/>
    <w:rsid w:val="0BD21910"/>
    <w:rsid w:val="0BDA3782"/>
    <w:rsid w:val="0BDB5584"/>
    <w:rsid w:val="0BE0026A"/>
    <w:rsid w:val="0BE03DAA"/>
    <w:rsid w:val="0BE17727"/>
    <w:rsid w:val="0BEC55E4"/>
    <w:rsid w:val="0BF427F9"/>
    <w:rsid w:val="0BF614B9"/>
    <w:rsid w:val="0BFC1637"/>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17A81"/>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B44F15"/>
    <w:rsid w:val="0DB51551"/>
    <w:rsid w:val="0DB76EF8"/>
    <w:rsid w:val="0DB8079D"/>
    <w:rsid w:val="0DBC362A"/>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1625"/>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0E445D"/>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9E765B"/>
    <w:rsid w:val="10A12DB1"/>
    <w:rsid w:val="10B4235C"/>
    <w:rsid w:val="10B7486E"/>
    <w:rsid w:val="10BD429D"/>
    <w:rsid w:val="10C85160"/>
    <w:rsid w:val="10CC5735"/>
    <w:rsid w:val="10D679E0"/>
    <w:rsid w:val="10DF786B"/>
    <w:rsid w:val="10EC75B1"/>
    <w:rsid w:val="10F33CC1"/>
    <w:rsid w:val="10FA45D2"/>
    <w:rsid w:val="10FD6E37"/>
    <w:rsid w:val="11024527"/>
    <w:rsid w:val="110A4489"/>
    <w:rsid w:val="11150F62"/>
    <w:rsid w:val="111A28E5"/>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E1CE9"/>
    <w:rsid w:val="1357258A"/>
    <w:rsid w:val="135845C3"/>
    <w:rsid w:val="135F5E4E"/>
    <w:rsid w:val="1377654A"/>
    <w:rsid w:val="137D1A4D"/>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15104"/>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D4A84"/>
    <w:rsid w:val="155362BD"/>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23116"/>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9561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C7770D"/>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93D1E"/>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2DD1"/>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343E7"/>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6050F1"/>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E25BA"/>
    <w:rsid w:val="1BD91032"/>
    <w:rsid w:val="1BDD2FB0"/>
    <w:rsid w:val="1BDF024C"/>
    <w:rsid w:val="1BEA1E6C"/>
    <w:rsid w:val="1BEE4EC9"/>
    <w:rsid w:val="1BEF7D4B"/>
    <w:rsid w:val="1BF768CD"/>
    <w:rsid w:val="1BF92025"/>
    <w:rsid w:val="1BF9326D"/>
    <w:rsid w:val="1C036FDA"/>
    <w:rsid w:val="1C0730F3"/>
    <w:rsid w:val="1C08111C"/>
    <w:rsid w:val="1C0A12E3"/>
    <w:rsid w:val="1C0B33CB"/>
    <w:rsid w:val="1C0D0258"/>
    <w:rsid w:val="1C0D60C9"/>
    <w:rsid w:val="1C17562C"/>
    <w:rsid w:val="1C1869A6"/>
    <w:rsid w:val="1C191CF6"/>
    <w:rsid w:val="1C1E64AF"/>
    <w:rsid w:val="1C206F70"/>
    <w:rsid w:val="1C242C80"/>
    <w:rsid w:val="1C277F90"/>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C3A3E"/>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170F5"/>
    <w:rsid w:val="21330562"/>
    <w:rsid w:val="21361B20"/>
    <w:rsid w:val="213D54AD"/>
    <w:rsid w:val="214169BB"/>
    <w:rsid w:val="2144141D"/>
    <w:rsid w:val="214B1974"/>
    <w:rsid w:val="214F4863"/>
    <w:rsid w:val="21504A40"/>
    <w:rsid w:val="215F7E39"/>
    <w:rsid w:val="2163647D"/>
    <w:rsid w:val="216C54DE"/>
    <w:rsid w:val="216E17C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94777"/>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44ADD"/>
    <w:rsid w:val="22D61781"/>
    <w:rsid w:val="22E30977"/>
    <w:rsid w:val="22E30F99"/>
    <w:rsid w:val="22E95A8D"/>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044F"/>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4D56A7"/>
    <w:rsid w:val="275439E1"/>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F0B9A"/>
    <w:rsid w:val="284543A1"/>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C154A"/>
    <w:rsid w:val="28A605BD"/>
    <w:rsid w:val="28A66523"/>
    <w:rsid w:val="28A943EA"/>
    <w:rsid w:val="28AD2029"/>
    <w:rsid w:val="28AE4FA7"/>
    <w:rsid w:val="28B220F4"/>
    <w:rsid w:val="28B230D9"/>
    <w:rsid w:val="28B23E86"/>
    <w:rsid w:val="28BD44AE"/>
    <w:rsid w:val="28C075A4"/>
    <w:rsid w:val="28C50ACE"/>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632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04D3"/>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5C4797"/>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73D7"/>
    <w:rsid w:val="2C395B9E"/>
    <w:rsid w:val="2C3B4053"/>
    <w:rsid w:val="2C416890"/>
    <w:rsid w:val="2C445F61"/>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43BFD"/>
    <w:rsid w:val="302757BF"/>
    <w:rsid w:val="302E1CAD"/>
    <w:rsid w:val="302F0C7E"/>
    <w:rsid w:val="303245C6"/>
    <w:rsid w:val="30354430"/>
    <w:rsid w:val="303F616B"/>
    <w:rsid w:val="3042736A"/>
    <w:rsid w:val="30455D67"/>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F5A06"/>
    <w:rsid w:val="32B22C9D"/>
    <w:rsid w:val="32BA631C"/>
    <w:rsid w:val="32BC6631"/>
    <w:rsid w:val="32C05B65"/>
    <w:rsid w:val="32C6418D"/>
    <w:rsid w:val="32CB4565"/>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2B2118"/>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836FF"/>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7FE087E"/>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36B9"/>
    <w:rsid w:val="38876F05"/>
    <w:rsid w:val="38894DA5"/>
    <w:rsid w:val="389121D9"/>
    <w:rsid w:val="38913DAB"/>
    <w:rsid w:val="38962777"/>
    <w:rsid w:val="38981AB5"/>
    <w:rsid w:val="389D3615"/>
    <w:rsid w:val="38A30506"/>
    <w:rsid w:val="38A40C18"/>
    <w:rsid w:val="38A433DE"/>
    <w:rsid w:val="38A61C5A"/>
    <w:rsid w:val="38AB306B"/>
    <w:rsid w:val="38AC4968"/>
    <w:rsid w:val="38B2503F"/>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6078D"/>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B3C77"/>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70C4C"/>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31D02"/>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DC792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8358D"/>
    <w:rsid w:val="4049754C"/>
    <w:rsid w:val="404B2521"/>
    <w:rsid w:val="404F7DEB"/>
    <w:rsid w:val="40572DA6"/>
    <w:rsid w:val="405A424E"/>
    <w:rsid w:val="406D461C"/>
    <w:rsid w:val="406F7D87"/>
    <w:rsid w:val="40786FBC"/>
    <w:rsid w:val="407A5C67"/>
    <w:rsid w:val="407B4FD0"/>
    <w:rsid w:val="40801F54"/>
    <w:rsid w:val="40825FDB"/>
    <w:rsid w:val="40836EAD"/>
    <w:rsid w:val="40907287"/>
    <w:rsid w:val="409238F2"/>
    <w:rsid w:val="40930EBC"/>
    <w:rsid w:val="40953EC0"/>
    <w:rsid w:val="409D027A"/>
    <w:rsid w:val="409F75BB"/>
    <w:rsid w:val="40A40333"/>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3B21FE"/>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19F6"/>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DE7023"/>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61E7F"/>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029AD"/>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17281"/>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71A94"/>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34702"/>
    <w:rsid w:val="47065799"/>
    <w:rsid w:val="47073BE8"/>
    <w:rsid w:val="470872CF"/>
    <w:rsid w:val="470D53CA"/>
    <w:rsid w:val="4714139C"/>
    <w:rsid w:val="471563E1"/>
    <w:rsid w:val="47167C67"/>
    <w:rsid w:val="47333B1B"/>
    <w:rsid w:val="47351654"/>
    <w:rsid w:val="473D0BD8"/>
    <w:rsid w:val="47457188"/>
    <w:rsid w:val="47502F2C"/>
    <w:rsid w:val="47561DDC"/>
    <w:rsid w:val="47592D4E"/>
    <w:rsid w:val="47644CFB"/>
    <w:rsid w:val="47666951"/>
    <w:rsid w:val="47683159"/>
    <w:rsid w:val="476A7D07"/>
    <w:rsid w:val="478046DF"/>
    <w:rsid w:val="478F210C"/>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CE6794"/>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C24EC"/>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D6CA0"/>
    <w:rsid w:val="4D2609C6"/>
    <w:rsid w:val="4D2A2C09"/>
    <w:rsid w:val="4D2B2E28"/>
    <w:rsid w:val="4D2F5C2A"/>
    <w:rsid w:val="4D3030D8"/>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03435"/>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25EE7"/>
    <w:rsid w:val="5239194F"/>
    <w:rsid w:val="524D342E"/>
    <w:rsid w:val="524E54BD"/>
    <w:rsid w:val="52541382"/>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E5FB1"/>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B1553"/>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027F4"/>
    <w:rsid w:val="58E56245"/>
    <w:rsid w:val="58E909DD"/>
    <w:rsid w:val="58EB1C90"/>
    <w:rsid w:val="58EE536D"/>
    <w:rsid w:val="58F57D12"/>
    <w:rsid w:val="58FB0E2F"/>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AF6606"/>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C7772"/>
    <w:rsid w:val="5A6169CB"/>
    <w:rsid w:val="5A6336A1"/>
    <w:rsid w:val="5A65704E"/>
    <w:rsid w:val="5A6B7C88"/>
    <w:rsid w:val="5A6F5AD1"/>
    <w:rsid w:val="5A73612A"/>
    <w:rsid w:val="5A784E1A"/>
    <w:rsid w:val="5A7F6F98"/>
    <w:rsid w:val="5A8F76C1"/>
    <w:rsid w:val="5A921A04"/>
    <w:rsid w:val="5A9A0A66"/>
    <w:rsid w:val="5A9E1A0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E0450"/>
    <w:rsid w:val="5BFF0C86"/>
    <w:rsid w:val="5C062E6E"/>
    <w:rsid w:val="5C087355"/>
    <w:rsid w:val="5C0C52E3"/>
    <w:rsid w:val="5C0C750E"/>
    <w:rsid w:val="5C0C796E"/>
    <w:rsid w:val="5C0E435F"/>
    <w:rsid w:val="5C135532"/>
    <w:rsid w:val="5C1832F4"/>
    <w:rsid w:val="5C185468"/>
    <w:rsid w:val="5C1A3044"/>
    <w:rsid w:val="5C1D0C0F"/>
    <w:rsid w:val="5C2218F7"/>
    <w:rsid w:val="5C3B2DCF"/>
    <w:rsid w:val="5C474C2E"/>
    <w:rsid w:val="5C494C6D"/>
    <w:rsid w:val="5C500AF8"/>
    <w:rsid w:val="5C517866"/>
    <w:rsid w:val="5C523483"/>
    <w:rsid w:val="5C5348B4"/>
    <w:rsid w:val="5C5E033F"/>
    <w:rsid w:val="5C6875EE"/>
    <w:rsid w:val="5C6B21CA"/>
    <w:rsid w:val="5C6F12DC"/>
    <w:rsid w:val="5C7A2919"/>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55DDB"/>
    <w:rsid w:val="5DD70750"/>
    <w:rsid w:val="5DE44DF4"/>
    <w:rsid w:val="5DED4540"/>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9E45C2"/>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D733A"/>
    <w:rsid w:val="61105E47"/>
    <w:rsid w:val="6112529A"/>
    <w:rsid w:val="611A085E"/>
    <w:rsid w:val="611A38D3"/>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27BAF"/>
    <w:rsid w:val="62D35D1C"/>
    <w:rsid w:val="62D67D61"/>
    <w:rsid w:val="62D777AF"/>
    <w:rsid w:val="62E157FC"/>
    <w:rsid w:val="62E81148"/>
    <w:rsid w:val="62E83A0D"/>
    <w:rsid w:val="62F47A1A"/>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1220B0"/>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F1E48"/>
    <w:rsid w:val="64E52880"/>
    <w:rsid w:val="64E5543E"/>
    <w:rsid w:val="64E76F6D"/>
    <w:rsid w:val="64EA4517"/>
    <w:rsid w:val="64F26371"/>
    <w:rsid w:val="64FC561C"/>
    <w:rsid w:val="64FC687A"/>
    <w:rsid w:val="64FE0E31"/>
    <w:rsid w:val="6503795B"/>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B17D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DB7F48"/>
    <w:rsid w:val="65E91B08"/>
    <w:rsid w:val="65F2016B"/>
    <w:rsid w:val="65F5725F"/>
    <w:rsid w:val="66032E7B"/>
    <w:rsid w:val="66053581"/>
    <w:rsid w:val="6609517F"/>
    <w:rsid w:val="660A19B0"/>
    <w:rsid w:val="660B3A10"/>
    <w:rsid w:val="661026AA"/>
    <w:rsid w:val="661207AA"/>
    <w:rsid w:val="661635F6"/>
    <w:rsid w:val="661D3F49"/>
    <w:rsid w:val="66213A5C"/>
    <w:rsid w:val="6624683A"/>
    <w:rsid w:val="662D2EA4"/>
    <w:rsid w:val="662F2BB7"/>
    <w:rsid w:val="6631571B"/>
    <w:rsid w:val="663D054E"/>
    <w:rsid w:val="66460692"/>
    <w:rsid w:val="6658158E"/>
    <w:rsid w:val="666077A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709C7"/>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A71B52"/>
    <w:rsid w:val="69A7770D"/>
    <w:rsid w:val="69A966F8"/>
    <w:rsid w:val="69AC0B64"/>
    <w:rsid w:val="69B27491"/>
    <w:rsid w:val="69B27C94"/>
    <w:rsid w:val="69BA2288"/>
    <w:rsid w:val="69BB7CE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CC1D95"/>
    <w:rsid w:val="6AD902D6"/>
    <w:rsid w:val="6AD909E0"/>
    <w:rsid w:val="6ADA122B"/>
    <w:rsid w:val="6ADC49EF"/>
    <w:rsid w:val="6ADD4FD8"/>
    <w:rsid w:val="6ADD71F3"/>
    <w:rsid w:val="6AE26C27"/>
    <w:rsid w:val="6AED013C"/>
    <w:rsid w:val="6AEE59AB"/>
    <w:rsid w:val="6AF159FF"/>
    <w:rsid w:val="6AF57F3A"/>
    <w:rsid w:val="6AF63F29"/>
    <w:rsid w:val="6AFB7DF3"/>
    <w:rsid w:val="6AFE4F30"/>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2F02AC"/>
    <w:rsid w:val="6C3A624E"/>
    <w:rsid w:val="6C3F4795"/>
    <w:rsid w:val="6C431738"/>
    <w:rsid w:val="6C442E2D"/>
    <w:rsid w:val="6C4B106D"/>
    <w:rsid w:val="6C505966"/>
    <w:rsid w:val="6C5D04BB"/>
    <w:rsid w:val="6C5D1781"/>
    <w:rsid w:val="6C6476BB"/>
    <w:rsid w:val="6C65329A"/>
    <w:rsid w:val="6C666C3C"/>
    <w:rsid w:val="6C6833E1"/>
    <w:rsid w:val="6C726F5A"/>
    <w:rsid w:val="6C751A38"/>
    <w:rsid w:val="6C7707E9"/>
    <w:rsid w:val="6C882D69"/>
    <w:rsid w:val="6C882F2E"/>
    <w:rsid w:val="6C8E4315"/>
    <w:rsid w:val="6C9360FF"/>
    <w:rsid w:val="6C95615F"/>
    <w:rsid w:val="6C9B343E"/>
    <w:rsid w:val="6CA94419"/>
    <w:rsid w:val="6CB242A2"/>
    <w:rsid w:val="6CB92EE5"/>
    <w:rsid w:val="6CBB719C"/>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34D48"/>
    <w:rsid w:val="6D374EDB"/>
    <w:rsid w:val="6D3835C8"/>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946BA"/>
    <w:rsid w:val="700C0460"/>
    <w:rsid w:val="70134ABB"/>
    <w:rsid w:val="701458A7"/>
    <w:rsid w:val="70146689"/>
    <w:rsid w:val="70152C7C"/>
    <w:rsid w:val="70170F2B"/>
    <w:rsid w:val="701830B7"/>
    <w:rsid w:val="701C3A0F"/>
    <w:rsid w:val="701E2FAB"/>
    <w:rsid w:val="70206C25"/>
    <w:rsid w:val="702267D2"/>
    <w:rsid w:val="70291A05"/>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E96941"/>
    <w:rsid w:val="70F04773"/>
    <w:rsid w:val="70F147D7"/>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F0906"/>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74724"/>
    <w:rsid w:val="722E7DFE"/>
    <w:rsid w:val="723032E3"/>
    <w:rsid w:val="7235246C"/>
    <w:rsid w:val="723749D7"/>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824E8"/>
    <w:rsid w:val="728B2CA4"/>
    <w:rsid w:val="728B509F"/>
    <w:rsid w:val="728F0A31"/>
    <w:rsid w:val="72956B6B"/>
    <w:rsid w:val="729A297B"/>
    <w:rsid w:val="72A13C6B"/>
    <w:rsid w:val="72A310CE"/>
    <w:rsid w:val="72A60BAC"/>
    <w:rsid w:val="72AF09AE"/>
    <w:rsid w:val="72B23B41"/>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034CF"/>
    <w:rsid w:val="74E11F86"/>
    <w:rsid w:val="74F26A6B"/>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81A6A"/>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F62755"/>
    <w:rsid w:val="77F62779"/>
    <w:rsid w:val="77F92249"/>
    <w:rsid w:val="78036043"/>
    <w:rsid w:val="780F6F82"/>
    <w:rsid w:val="781164D0"/>
    <w:rsid w:val="7813374F"/>
    <w:rsid w:val="781838FF"/>
    <w:rsid w:val="781A21DD"/>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4E46"/>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12B29"/>
    <w:rsid w:val="7A820760"/>
    <w:rsid w:val="7A87742E"/>
    <w:rsid w:val="7A9123B7"/>
    <w:rsid w:val="7A9711EE"/>
    <w:rsid w:val="7A9A1B33"/>
    <w:rsid w:val="7A9B74B6"/>
    <w:rsid w:val="7A9C3E5C"/>
    <w:rsid w:val="7A9D1CEF"/>
    <w:rsid w:val="7A9D1FA5"/>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782DB3"/>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277D9"/>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C2784"/>
    <w:rsid w:val="7F536DE1"/>
    <w:rsid w:val="7F6339F7"/>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2</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2024-05-13T15:09:59Z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